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6" w:rsidRDefault="00335296" w:rsidP="00D50CEF">
      <w:pPr>
        <w:shd w:val="clear" w:color="auto" w:fill="FFFFFF"/>
        <w:spacing w:before="150" w:after="150" w:line="24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pacing w:val="-15"/>
          <w:kern w:val="36"/>
          <w:sz w:val="43"/>
          <w:szCs w:val="43"/>
          <w:lang w:eastAsia="fr-FR"/>
        </w:rPr>
      </w:pPr>
      <w:r w:rsidRPr="00335296">
        <w:rPr>
          <w:rFonts w:ascii="Trebuchet MS" w:eastAsia="Times New Roman" w:hAnsi="Trebuchet MS" w:cs="Times New Roman"/>
          <w:b/>
          <w:bCs/>
          <w:color w:val="000000"/>
          <w:spacing w:val="-15"/>
          <w:kern w:val="36"/>
          <w:sz w:val="43"/>
          <w:szCs w:val="43"/>
          <w:lang w:eastAsia="fr-FR"/>
        </w:rPr>
        <w:t>Procédure de recrutement d'agents contractuels sur des emplois permanents</w:t>
      </w:r>
      <w:r w:rsidR="00CC3DA3">
        <w:rPr>
          <w:rFonts w:ascii="Trebuchet MS" w:eastAsia="Times New Roman" w:hAnsi="Trebuchet MS" w:cs="Times New Roman"/>
          <w:b/>
          <w:bCs/>
          <w:color w:val="000000"/>
          <w:spacing w:val="-15"/>
          <w:kern w:val="36"/>
          <w:sz w:val="43"/>
          <w:szCs w:val="43"/>
          <w:lang w:eastAsia="fr-FR"/>
        </w:rPr>
        <w:t xml:space="preserve"> – Personnel non médical</w:t>
      </w:r>
    </w:p>
    <w:p w:rsidR="000A21BC" w:rsidRDefault="000A21BC" w:rsidP="00DF04F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F797F"/>
          <w:lang w:eastAsia="fr-FR"/>
        </w:rPr>
      </w:pPr>
    </w:p>
    <w:p w:rsidR="00335296" w:rsidRPr="00335296" w:rsidRDefault="007241E9" w:rsidP="00DF04F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F797F"/>
          <w:lang w:eastAsia="fr-FR"/>
        </w:rPr>
      </w:pPr>
      <w:r>
        <w:rPr>
          <w:rFonts w:ascii="Arial" w:eastAsia="Times New Roman" w:hAnsi="Arial" w:cs="Arial"/>
          <w:color w:val="6F797F"/>
          <w:lang w:eastAsia="fr-FR"/>
        </w:rPr>
        <w:t>P</w:t>
      </w:r>
      <w:r w:rsidR="00335296" w:rsidRPr="00335296">
        <w:rPr>
          <w:rFonts w:ascii="Arial" w:eastAsia="Times New Roman" w:hAnsi="Arial" w:cs="Arial"/>
          <w:color w:val="6F797F"/>
          <w:lang w:eastAsia="fr-FR"/>
        </w:rPr>
        <w:t>rocédure de recrutement pour pourvoir les emplois permanents de la fonction publique ouverts aux agents contractuels.</w:t>
      </w:r>
    </w:p>
    <w:p w:rsidR="00335296" w:rsidRPr="00335296" w:rsidRDefault="00335296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5F6D"/>
          <w:sz w:val="21"/>
          <w:szCs w:val="21"/>
          <w:lang w:eastAsia="fr-FR"/>
        </w:rPr>
      </w:pP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En application de l’article 15 de la loi de transformation de la fonction publique du 6 août 2019, ce décret précise les modalités de la procédure de recrutement d'agents contractuels sur les emplois permanents de la fonction publique hospitalière.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Il modifie le décret n°91-155 du 6 février 1991 relatif aux dispositions générales applicables aux agents contractuels de la FPH.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</w:p>
    <w:p w:rsidR="00335296" w:rsidRPr="00335296" w:rsidRDefault="00335296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u w:val="single"/>
          <w:lang w:eastAsia="fr-FR"/>
        </w:rPr>
        <w:t>DISPOSITIONS GENERALES</w:t>
      </w:r>
    </w:p>
    <w:p w:rsidR="00F8564F" w:rsidRDefault="00F8564F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</w:p>
    <w:p w:rsidR="00DF04F1" w:rsidRPr="00DF04F1" w:rsidRDefault="00335296" w:rsidP="00DF04F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Rappel du respect des 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principes généraux applicables à toutes les procédures de recrutement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: interdiction de</w:t>
      </w:r>
      <w:r w:rsidR="00606B0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tout type de discrimination et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égalité de traitement à l’ég</w:t>
      </w:r>
      <w:r w:rsidR="00606B0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ard des travailleurs handicapés.</w:t>
      </w:r>
    </w:p>
    <w:p w:rsidR="00F8564F" w:rsidRDefault="00335296" w:rsidP="00DF04F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Critères de sélection :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l’appréciation portée sur chaque candidature est fondée sur</w:t>
      </w:r>
      <w:r w:rsidR="00F8564F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:</w:t>
      </w:r>
    </w:p>
    <w:p w:rsidR="00F8564F" w:rsidRDefault="00F8564F" w:rsidP="00DF04F1">
      <w:pPr>
        <w:numPr>
          <w:ilvl w:val="0"/>
          <w:numId w:val="6"/>
        </w:numPr>
        <w:shd w:val="clear" w:color="auto" w:fill="FFFFFF"/>
        <w:spacing w:before="120" w:after="0" w:line="240" w:lineRule="auto"/>
        <w:ind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compétences</w:t>
      </w:r>
    </w:p>
    <w:p w:rsidR="00F8564F" w:rsidRDefault="00F8564F" w:rsidP="00DF04F1">
      <w:pPr>
        <w:numPr>
          <w:ilvl w:val="0"/>
          <w:numId w:val="6"/>
        </w:numPr>
        <w:shd w:val="clear" w:color="auto" w:fill="FFFFFF"/>
        <w:spacing w:before="120" w:after="0" w:line="240" w:lineRule="auto"/>
        <w:ind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aptitudes</w:t>
      </w:r>
    </w:p>
    <w:p w:rsidR="00F8564F" w:rsidRDefault="00335296" w:rsidP="00DF04F1">
      <w:pPr>
        <w:numPr>
          <w:ilvl w:val="0"/>
          <w:numId w:val="6"/>
        </w:numPr>
        <w:shd w:val="clear" w:color="auto" w:fill="FFFFFF"/>
        <w:spacing w:before="120" w:after="0" w:line="240" w:lineRule="auto"/>
        <w:ind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</w:t>
      </w:r>
      <w:r w:rsidR="00F8564F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s qualifications</w:t>
      </w:r>
    </w:p>
    <w:p w:rsidR="00F8564F" w:rsidRDefault="00F8564F" w:rsidP="00DF04F1">
      <w:pPr>
        <w:numPr>
          <w:ilvl w:val="0"/>
          <w:numId w:val="6"/>
        </w:numPr>
        <w:shd w:val="clear" w:color="auto" w:fill="FFFFFF"/>
        <w:spacing w:before="120" w:after="0" w:line="240" w:lineRule="auto"/>
        <w:ind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l’expérience professionnelle</w:t>
      </w:r>
    </w:p>
    <w:p w:rsidR="00335296" w:rsidRPr="00335296" w:rsidRDefault="00335296" w:rsidP="00DF04F1">
      <w:pPr>
        <w:numPr>
          <w:ilvl w:val="0"/>
          <w:numId w:val="6"/>
        </w:numPr>
        <w:shd w:val="clear" w:color="auto" w:fill="FFFFFF"/>
        <w:spacing w:before="120" w:after="0" w:line="240" w:lineRule="auto"/>
        <w:ind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 potentiel du candidat et sa capacité à exercer les missions dévolues à l’emploi à pourvoir.</w:t>
      </w:r>
    </w:p>
    <w:p w:rsidR="00335296" w:rsidRPr="00335296" w:rsidRDefault="00335296" w:rsidP="00DF04F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 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modalités de la procédure de recrutement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sont publiées par tout moyen approprié.</w:t>
      </w:r>
    </w:p>
    <w:p w:rsidR="00335296" w:rsidRPr="00335296" w:rsidRDefault="00335296" w:rsidP="00DF04F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L’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avis de vacance ou de création de l’emploi à pourvoir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 fait également l’objet d’une publication sur la place de l’emploi public, le site internet de l’établissement ou par tout moyen assurant une publicité suffisante. 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L’offre d’emploi comprend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notamment les missions du poste, les qualifications requises, les compétences attendues et les sujétions particulières attachées au poste.</w:t>
      </w:r>
    </w:p>
    <w:p w:rsidR="00335296" w:rsidRPr="00335296" w:rsidRDefault="00335296" w:rsidP="00DF04F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candidatures sont déposées dans la limite d’un délai qui, sauf urgence, ne peut être inférieur à 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1 mois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, à compter de la publication de l’avis.</w:t>
      </w:r>
    </w:p>
    <w:p w:rsidR="00335296" w:rsidRPr="00335296" w:rsidRDefault="00F8564F" w:rsidP="00DF04F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hanging="357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La DRH</w:t>
      </w:r>
      <w:r w:rsidR="00335296"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accuse réception de chaque candidature.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</w:t>
      </w:r>
    </w:p>
    <w:p w:rsidR="00335296" w:rsidRPr="00335296" w:rsidRDefault="00335296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Champ d’application</w:t>
      </w:r>
      <w:r w:rsidR="00FE1707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 xml:space="preserve"> 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: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Sont concernés par cette procédure :</w:t>
      </w:r>
    </w:p>
    <w:p w:rsidR="00335296" w:rsidRPr="00335296" w:rsidRDefault="00335296" w:rsidP="00DF04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emplois permanents mentionnés à l’article 9 de la loi n°86-33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du 9 janvier 1986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,</w:t>
      </w:r>
    </w:p>
    <w:p w:rsidR="00335296" w:rsidRPr="00335296" w:rsidRDefault="00335296" w:rsidP="00DF04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remplacements momentanés de fonctionnaires ou d'agents contractuels (article 9-1, I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- </w:t>
      </w:r>
      <w:r w:rsidR="00CC3DA3"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loi n°86-33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du 9 janvier 1986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),</w:t>
      </w:r>
    </w:p>
    <w:p w:rsidR="00335296" w:rsidRPr="00335296" w:rsidRDefault="00335296" w:rsidP="00DF04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vacances temporaires d'emploi dans l'attente du recrutement d'un fonctionnaire (article 9-1, II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- </w:t>
      </w:r>
      <w:r w:rsidR="00CC3DA3"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loi n°86-33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du 9 janvier 1986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).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Elle ne s’applique pas aux recrutements sur des emplois de direction.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</w:t>
      </w:r>
    </w:p>
    <w:p w:rsidR="00335296" w:rsidRPr="00335296" w:rsidRDefault="00335296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Articulation des candidatures d’agents fonctionnaires et de personnes n’ayant pas cette qualité :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candidatures des personnes n’ayant pas la qualité de fonctionnaire peuvent être déposées dès la publication de l’avis de création ou de vacance de l’emploi à pourvoir.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Lorsque l’emploi relève du premier alinéa de l’article 9 de la loi n°86-33</w:t>
      </w:r>
      <w:r w:rsid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du 9 janvier 1986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(emploi permanent à temps complet), l’examen des candidatures des personnes n’ayant pas la qualité de fonctionnaire (ou le renouvellement du contrat d’un agent) n’est possible que lorsque l’</w:t>
      </w:r>
      <w:r w:rsidR="005B369F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établissement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a établi le constat du caractère infructueux du recrutement d’un fonctionnaire sur cet emploi.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</w:t>
      </w:r>
    </w:p>
    <w:p w:rsidR="00335296" w:rsidRPr="00335296" w:rsidRDefault="00CC40E9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Phase de présélection </w:t>
      </w:r>
      <w:r w:rsidR="00335296"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:</w:t>
      </w:r>
    </w:p>
    <w:p w:rsidR="00335296" w:rsidRPr="00335296" w:rsidRDefault="00D20B9E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La Direction des Ressources Humaines</w:t>
      </w:r>
      <w:r w:rsidR="00335296"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accuse réception de chaque candidature et vérifie leur recevabilité au regard des dispositions législatives et réglementaires régissant l’accès à l’emploi concerné.</w:t>
      </w:r>
    </w:p>
    <w:p w:rsidR="00335296" w:rsidRPr="00335296" w:rsidRDefault="00D02DDA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Il est possible</w:t>
      </w:r>
      <w:r w:rsidR="00335296"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272727"/>
          <w:sz w:val="21"/>
          <w:szCs w:val="21"/>
          <w:lang w:eastAsia="fr-FR"/>
        </w:rPr>
        <w:t>d’</w:t>
      </w:r>
      <w:r w:rsidR="00335296"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écarter toute candidature qui, de manière manifeste, ne cor</w:t>
      </w:r>
      <w:r w:rsidR="00D20B9E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respond pas au profil recherché, au regard notamment de la formation suivie et de l’expérience professionnelle acquise.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 </w:t>
      </w:r>
    </w:p>
    <w:p w:rsidR="00335296" w:rsidRPr="00335296" w:rsidRDefault="00335296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Modalités</w:t>
      </w:r>
      <w:r w:rsidR="00CC40E9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 xml:space="preserve"> de l’entretien de recrutement 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: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Les candidats présélectionnés sont convoqués à un ou plusieurs entretiens conduits par une ou plusieurs personnes dans l’établissement.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Spécificités :</w:t>
      </w:r>
    </w:p>
    <w:p w:rsidR="00335296" w:rsidRPr="00DF04F1" w:rsidRDefault="00335296" w:rsidP="00DF04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Lorsque le recrutement est organisé pour un remplacement d’une durée inférieure ou égale à 6 mois, </w:t>
      </w:r>
      <w:r w:rsidR="00CC40E9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le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 xml:space="preserve"> ou les candidats</w:t>
      </w:r>
      <w:r w:rsidR="00CC40E9" w:rsidRPr="00CC40E9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 xml:space="preserve"> </w:t>
      </w:r>
      <w:r w:rsidR="00CC40E9"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peu</w:t>
      </w:r>
      <w:r w:rsidR="00CC40E9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vent être directement convoqués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 xml:space="preserve"> à un entretien, sans phase de présélection.</w:t>
      </w:r>
    </w:p>
    <w:p w:rsidR="00DF04F1" w:rsidRPr="00335296" w:rsidRDefault="00DF04F1" w:rsidP="00DF0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</w:p>
    <w:p w:rsidR="00335296" w:rsidRPr="00335296" w:rsidRDefault="00335296" w:rsidP="00DF0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Pour les emplois dont la nature des compétences, le niveau d’expertise ou l’importance des responsabilités le justifie et pour les CDI, le ou les candidats présélectionnés sont convoqué à un ou plusieurs entretiens 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conduits par au moins 2 personnes</w:t>
      </w:r>
      <w:r w:rsidR="00CC3DA3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 xml:space="preserve"> (dont un expert métier)</w:t>
      </w:r>
      <w:r w:rsidRPr="00335296">
        <w:rPr>
          <w:rFonts w:ascii="Arial" w:eastAsia="Times New Roman" w:hAnsi="Arial" w:cs="Arial"/>
          <w:b/>
          <w:bCs/>
          <w:color w:val="272727"/>
          <w:sz w:val="21"/>
          <w:szCs w:val="21"/>
          <w:lang w:eastAsia="fr-FR"/>
        </w:rPr>
        <w:t>, ensemble ou séparément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. L’avis d’une ou plusieurs autres personnes peut en outre être sollicité.</w:t>
      </w:r>
    </w:p>
    <w:p w:rsidR="00335296" w:rsidRPr="00335296" w:rsidRDefault="00335296" w:rsidP="00DF04F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fr-FR"/>
        </w:rPr>
      </w:pP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A l’issue du ou des entretiens de recrutement, un document précisant les appréciations portées sur chaque candidat au regard de leurs compétences, aptitudes, qualifications et expériences professionnelles, potentiel et capacité à exercer les missions dévolues à l’emploi à pourvoir est transmis à </w:t>
      </w:r>
      <w:r w:rsidR="00CC40E9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la Direction des Ressources Humaines</w:t>
      </w:r>
      <w:r w:rsidRPr="00335296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.</w:t>
      </w:r>
    </w:p>
    <w:p w:rsidR="003820CC" w:rsidRDefault="00CC40E9" w:rsidP="00DF04F1">
      <w:pPr>
        <w:pStyle w:val="Paragraphedeliste"/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</w:pPr>
      <w:r w:rsidRP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 xml:space="preserve">La Direction des Ressources Humaines </w:t>
      </w:r>
      <w:r w:rsidR="00335296" w:rsidRP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décide de la suite donnée à la procédure de recrutement et informe, par tout moyen approprié les candidats non-reten</w:t>
      </w:r>
      <w:r w:rsidRPr="00CC3DA3">
        <w:rPr>
          <w:rFonts w:ascii="Arial" w:eastAsia="Times New Roman" w:hAnsi="Arial" w:cs="Arial"/>
          <w:color w:val="272727"/>
          <w:sz w:val="21"/>
          <w:szCs w:val="21"/>
          <w:lang w:eastAsia="fr-FR"/>
        </w:rPr>
        <w:t>us du rejet de leur candidature.</w:t>
      </w:r>
    </w:p>
    <w:sectPr w:rsidR="00382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B5" w:rsidRDefault="007619B5" w:rsidP="00294F5A">
      <w:pPr>
        <w:spacing w:after="0" w:line="240" w:lineRule="auto"/>
      </w:pPr>
      <w:r>
        <w:separator/>
      </w:r>
    </w:p>
  </w:endnote>
  <w:endnote w:type="continuationSeparator" w:id="0">
    <w:p w:rsidR="007619B5" w:rsidRDefault="007619B5" w:rsidP="0029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B5" w:rsidRDefault="007619B5" w:rsidP="00294F5A">
      <w:pPr>
        <w:spacing w:after="0" w:line="240" w:lineRule="auto"/>
      </w:pPr>
      <w:r>
        <w:separator/>
      </w:r>
    </w:p>
  </w:footnote>
  <w:footnote w:type="continuationSeparator" w:id="0">
    <w:p w:rsidR="007619B5" w:rsidRDefault="007619B5" w:rsidP="0029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5A" w:rsidRDefault="00294F5A" w:rsidP="00294F5A">
    <w:pPr>
      <w:pStyle w:val="En-tte"/>
      <w:ind w:left="-567"/>
    </w:pPr>
    <w:r>
      <w:rPr>
        <w:rFonts w:ascii="Arial" w:hAnsi="Arial" w:cs="Arial"/>
        <w:b/>
        <w:noProof/>
        <w:color w:val="004494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608330</wp:posOffset>
              </wp:positionH>
              <wp:positionV relativeFrom="paragraph">
                <wp:posOffset>228600</wp:posOffset>
              </wp:positionV>
              <wp:extent cx="6120130" cy="561975"/>
              <wp:effectExtent l="0" t="0" r="0" b="952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F5A" w:rsidRDefault="00294F5A" w:rsidP="005B5718">
                          <w:pPr>
                            <w:pStyle w:val="Paragraphestandard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    DEPARTEMENT RESSOURCES HUMAINES ET AFFAIRES SOCIALES</w:t>
                          </w:r>
                        </w:p>
                        <w:p w:rsidR="00294F5A" w:rsidRDefault="00294F5A" w:rsidP="005B5718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DIRECTION DES RESSOURCES HUMAINES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47.9pt;margin-top:18pt;width:481.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" filled="f" stroked="f">
              <v:textbox>
                <w:txbxContent>
                  <w:p w:rsidR="00294F5A" w:rsidRDefault="00294F5A" w:rsidP="005B5718">
                    <w:pPr>
                      <w:pStyle w:val="Paragraphestandard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  DEPARTEMENT RESSOURCES HUMAINES ET AFFAIRES SOCIALES</w:t>
                    </w:r>
                  </w:p>
                  <w:p w:rsidR="00294F5A" w:rsidRDefault="00294F5A" w:rsidP="005B5718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DIRECTION DES RESSOURCES HUMAINES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4494"/>
        <w:sz w:val="32"/>
        <w:szCs w:val="32"/>
        <w:lang w:eastAsia="fr-FR"/>
      </w:rPr>
      <w:drawing>
        <wp:inline distT="0" distB="0" distL="0" distR="0">
          <wp:extent cx="6516585" cy="987911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31" cy="98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461"/>
    <w:multiLevelType w:val="multilevel"/>
    <w:tmpl w:val="DE0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876"/>
    <w:multiLevelType w:val="multilevel"/>
    <w:tmpl w:val="FEDA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557A7"/>
    <w:multiLevelType w:val="multilevel"/>
    <w:tmpl w:val="ECB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4AA3"/>
    <w:multiLevelType w:val="multilevel"/>
    <w:tmpl w:val="28F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66017"/>
    <w:multiLevelType w:val="multilevel"/>
    <w:tmpl w:val="334672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E699C"/>
    <w:multiLevelType w:val="multilevel"/>
    <w:tmpl w:val="CAA8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C2A58"/>
    <w:multiLevelType w:val="hybridMultilevel"/>
    <w:tmpl w:val="1096AF14"/>
    <w:lvl w:ilvl="0" w:tplc="4D6E06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6"/>
    <w:rsid w:val="000A21BC"/>
    <w:rsid w:val="00294F5A"/>
    <w:rsid w:val="00335296"/>
    <w:rsid w:val="003820CC"/>
    <w:rsid w:val="00497E05"/>
    <w:rsid w:val="005B369F"/>
    <w:rsid w:val="00606B03"/>
    <w:rsid w:val="007241E9"/>
    <w:rsid w:val="007619B5"/>
    <w:rsid w:val="00A31EA9"/>
    <w:rsid w:val="00CC3DA3"/>
    <w:rsid w:val="00CC40E9"/>
    <w:rsid w:val="00D02DDA"/>
    <w:rsid w:val="00D20B9E"/>
    <w:rsid w:val="00D50CEF"/>
    <w:rsid w:val="00D93E59"/>
    <w:rsid w:val="00DF04F1"/>
    <w:rsid w:val="00F8564F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BBA8"/>
  <w15:docId w15:val="{4DA57A7B-B4A4-4154-B2DD-9F9A271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F5A"/>
  </w:style>
  <w:style w:type="paragraph" w:styleId="Pieddepage">
    <w:name w:val="footer"/>
    <w:basedOn w:val="Normal"/>
    <w:link w:val="PieddepageCar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F5A"/>
  </w:style>
  <w:style w:type="paragraph" w:customStyle="1" w:styleId="DefaultParagraphFontParaCharCarCarCarCarCarCarCarCarCarCarCarCarCarCarCarCarCarCarCar">
    <w:name w:val="Default Paragraph Font Para Char Car Car Car Car Car Car Car Car Car Car Car Car Car Car Car Car Car Car Car"/>
    <w:basedOn w:val="Normal"/>
    <w:rsid w:val="00294F5A"/>
    <w:pPr>
      <w:spacing w:after="160" w:line="240" w:lineRule="exact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F5A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rsid w:val="00294F5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2020-03-30T08:54:00Z</dcterms:created>
  <dcterms:modified xsi:type="dcterms:W3CDTF">2020-07-09T09:46:00Z</dcterms:modified>
</cp:coreProperties>
</file>